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国家自然科学基金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申报立项情况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报告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国家自然科学基金我校共申报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224项，获批立项39项。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一、申报情况分析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国家自然科学基金共申报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224项，较2018提高了10.3%（2018年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203项）。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1、各学科部申报情况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2019年我校在</w:t>
      </w:r>
      <w:r>
        <w:rPr>
          <w:rFonts w:hint="eastAsia" w:ascii="仿宋_GB2312" w:eastAsia="仿宋_GB2312"/>
          <w:sz w:val="32"/>
          <w:szCs w:val="32"/>
          <w:lang w:eastAsia="zh-CN"/>
        </w:rPr>
        <w:t>基金委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个学科部有项目申报，分别是生命科学部、工程与材料科学部、管理科学部、地球科学部、化学科学部、数理科学部</w:t>
      </w:r>
      <w:r>
        <w:rPr>
          <w:rFonts w:hint="eastAsia" w:ascii="仿宋_GB2312" w:eastAsia="仿宋_GB2312"/>
          <w:sz w:val="32"/>
          <w:szCs w:val="32"/>
          <w:lang w:eastAsia="zh-CN"/>
        </w:rPr>
        <w:t>、信息科学部</w:t>
      </w:r>
      <w:r>
        <w:rPr>
          <w:rFonts w:hint="eastAsia" w:ascii="仿宋_GB2312" w:eastAsia="仿宋_GB2312"/>
          <w:sz w:val="32"/>
          <w:szCs w:val="32"/>
        </w:rPr>
        <w:t>和医学科学部，</w:t>
      </w:r>
      <w:r>
        <w:rPr>
          <w:rFonts w:hint="eastAsia" w:ascii="仿宋_GB2312" w:eastAsia="仿宋_GB2312"/>
          <w:b/>
          <w:bCs/>
          <w:sz w:val="32"/>
          <w:szCs w:val="32"/>
        </w:rPr>
        <w:t>以生命科学部、</w:t>
      </w:r>
      <w:r>
        <w:rPr>
          <w:rFonts w:hint="eastAsia" w:ascii="仿宋_GB2312" w:eastAsia="仿宋_GB2312"/>
          <w:sz w:val="32"/>
          <w:szCs w:val="32"/>
        </w:rPr>
        <w:t>工程与材料科学部和地球科学部为主，申报比例分别占65.18%、13.84%和8.48%。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2、申报项目类型情况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从申报项目类型来看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地区基金173项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、联合基金14项、面上项目7项、青年项目30项，</w:t>
      </w:r>
      <w:r>
        <w:rPr>
          <w:rFonts w:hint="eastAsia" w:ascii="仿宋_GB2312" w:eastAsia="仿宋_GB2312"/>
          <w:sz w:val="32"/>
          <w:szCs w:val="32"/>
        </w:rPr>
        <w:t>以申报地区科学基金为主，达到77.23%。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3、各学院申报情况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从各学院申报基金情况来看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草环学院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45项、水利学院24项、动医学院23项、农学院22项、林园学院22项、食药学院18项、机电学院15项、动科学院14项、化工学院10项、经贸学院8项、管理学院8项、计算机学院4项、交通学院4项、数理学院4项、林业研究所2项、经济社会发展研究中心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其中，</w:t>
      </w:r>
      <w:r>
        <w:rPr>
          <w:rFonts w:hint="eastAsia" w:ascii="仿宋_GB2312" w:eastAsia="仿宋_GB2312"/>
          <w:b/>
          <w:bCs/>
          <w:sz w:val="32"/>
          <w:szCs w:val="32"/>
        </w:rPr>
        <w:t>草环学院、水利学院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b/>
          <w:bCs/>
          <w:sz w:val="32"/>
          <w:szCs w:val="32"/>
        </w:rPr>
        <w:t>动医学院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贡献率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申报数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/本年度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总数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超过10%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分别为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20.09%、10.71%、10.27%；</w:t>
      </w:r>
      <w:r>
        <w:rPr>
          <w:rFonts w:hint="eastAsia" w:ascii="仿宋_GB2312" w:eastAsia="仿宋_GB2312"/>
          <w:sz w:val="32"/>
          <w:szCs w:val="32"/>
        </w:rPr>
        <w:t>与2018年相比，</w:t>
      </w:r>
      <w:r>
        <w:rPr>
          <w:rFonts w:hint="eastAsia" w:ascii="仿宋_GB2312" w:eastAsia="仿宋_GB2312"/>
          <w:b/>
          <w:bCs/>
          <w:sz w:val="32"/>
          <w:szCs w:val="32"/>
        </w:rPr>
        <w:t>农学院、动医学院、经贸学院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b/>
          <w:bCs/>
          <w:sz w:val="32"/>
          <w:szCs w:val="32"/>
        </w:rPr>
        <w:t>数理学院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贡献率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了5.0</w:t>
      </w:r>
      <w:r>
        <w:rPr>
          <w:rFonts w:hint="eastAsia" w:ascii="仿宋_GB2312" w:eastAsia="仿宋_GB2312"/>
          <w:sz w:val="32"/>
          <w:szCs w:val="32"/>
        </w:rPr>
        <w:t>个百分点、3.0个百分点、0.83个百分点、0.71个百分点。</w:t>
      </w:r>
    </w:p>
    <w:p>
      <w:pPr>
        <w:jc w:val="center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表1 2018-2019年申报数及贡献率对比</w:t>
      </w:r>
    </w:p>
    <w:tbl>
      <w:tblPr>
        <w:tblStyle w:val="3"/>
        <w:tblW w:w="8172" w:type="dxa"/>
        <w:jc w:val="center"/>
        <w:tblInd w:w="-3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963"/>
        <w:gridCol w:w="964"/>
        <w:gridCol w:w="1230"/>
        <w:gridCol w:w="1228"/>
        <w:gridCol w:w="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7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63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申报数</w:t>
            </w:r>
          </w:p>
        </w:tc>
        <w:tc>
          <w:tcPr>
            <w:tcW w:w="96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申报数</w:t>
            </w:r>
          </w:p>
        </w:tc>
        <w:tc>
          <w:tcPr>
            <w:tcW w:w="1230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贡献率（%）</w:t>
            </w:r>
          </w:p>
        </w:tc>
        <w:tc>
          <w:tcPr>
            <w:tcW w:w="1228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贡献率（%）</w:t>
            </w:r>
          </w:p>
        </w:tc>
        <w:tc>
          <w:tcPr>
            <w:tcW w:w="81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+-百分点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bookmarkStart w:id="0" w:name="OLE_LINK1" w:colFirst="2" w:colLast="2"/>
            <w:r>
              <w:rPr>
                <w:rFonts w:hint="eastAsia" w:ascii="仿宋_GB2312" w:eastAsia="仿宋_GB2312"/>
                <w:sz w:val="22"/>
                <w:szCs w:val="22"/>
              </w:rPr>
              <w:t>水利学院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7.9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10.71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机电学院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4.0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6.7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草环学院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18.2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20.09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hint="eastAsia" w:ascii="Times New Roman" w:hAnsi="Times New Roman" w:cs="Times New Roman"/>
                <w:sz w:val="22"/>
                <w:szCs w:val="22"/>
              </w:rPr>
              <w:t>.0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1.79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经济社会发展研究中心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交通学院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1.4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1.79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林业研究所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0.89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动科学院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5.9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6.25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管理学院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食药学院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7.9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8.04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化工学院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4.46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干旱区荒漠研究所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干旱区土壤与肥料研究所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马业研究院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设施农业研究所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图书馆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科技学院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林园学院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9.9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9.82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-0.08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草业研究所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-0.5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数理学院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1.79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-0.71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经贸学院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3.57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-0.83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动医学院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13.3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10.27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-3.03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农学院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14.8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9.82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-4.98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297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4、各学院2019年计划数完成情况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机电学院、计算机学院、水利学院、草环学院、动科学院、交通学院和管理学院完成较好，完成率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（实际申报数/建议申报数）分别为150%、133%、126%、102%、100%、100%、100%；食药学院、林园学院和化工学院基本完成，完成率分别为95%、92%、91%，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经贸学院、动医学院、数理学院和农学院完成较差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，完成率分别为73%、72%、67%、61%。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eastAsia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表2 2019年申报数量完成情况</w:t>
      </w:r>
    </w:p>
    <w:tbl>
      <w:tblPr>
        <w:tblStyle w:val="3"/>
        <w:tblW w:w="751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"/>
        <w:gridCol w:w="2317"/>
        <w:gridCol w:w="1938"/>
        <w:gridCol w:w="1409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1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2019年建议申报数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2019年申报数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完成率(%)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93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0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126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草环学院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102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动科学院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食药学院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林园学院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动医学院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林业研究所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经济社会发展研究中心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241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224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二、立项情况分析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1、各学科部立项情况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自然科学基金委员会共有8个学科部，2019年我校获资助项目分布于4个科学部，分别为生命科学部、工程与材料科学部、化学科学部、地球科学部，立项数分别为31项、3项、3项、2项，其中以生命科学部的项目居多，占获资助项目总数的79.5％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近三年我校立项基金项目共111项，立项名列前三的学科部为生命科学部74项、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工程与材料科学部共11项、地球科学部9项，分别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占三年资助总数67%、10%、8%，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国自然科学基金评审过程中，国家各学部立项数平衡，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我校立项基本集中于生命科学部，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应加强工程与材料科学部、化学科学部、地球科学部申报质量，加强审查把关。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2、立项项目类型情况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2019年我校立项基金项目分布于3个类别，分别为地区科学基金项目、青年科学基金项目、面上项目，项目立项数分别为35项、3项、1项，其中地区科学基金项目占立项项目总数的89.7%。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应鼓励教师重点申报地区项目，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提高立项概率。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3、各学院立项情况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2019年立项数名列前7名的学院为草环学院、林园学院、农学院、动医学院、化工学院、食药学院、机电学院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占到学校立项数的82%，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立项数分别为11项、4项、4项、4项、3项、3项、3项，占学校总立项数的比例分别为28%、10%、10%、10%、8%、8%、8%。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近三年立项数名列前8名的学院为草环学院、农学院、动医学院、林园学院、食药学院、化工学院、水利学院、动科学院，占到近三年学校立项数的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88%，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立项数分别为29项、17项，12项、10项、8项、7项、7项、6项，占学校三年总立项数的比例分别为 26%、15%、10%、9%、7%、6%、6%、5%。   </w:t>
      </w:r>
    </w:p>
    <w:p>
      <w:pPr>
        <w:numPr>
          <w:ilvl w:val="0"/>
          <w:numId w:val="0"/>
        </w:numPr>
        <w:ind w:firstLine="2168" w:firstLineChars="9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表3 2017-2019年我校各学院立项情况</w:t>
      </w:r>
    </w:p>
    <w:tbl>
      <w:tblPr>
        <w:tblStyle w:val="3"/>
        <w:tblpPr w:leftFromText="180" w:rightFromText="180" w:vertAnchor="text" w:horzAnchor="page" w:tblpXSpec="center" w:tblpY="53"/>
        <w:tblOverlap w:val="never"/>
        <w:tblW w:w="721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0"/>
        <w:gridCol w:w="1230"/>
        <w:gridCol w:w="1080"/>
        <w:gridCol w:w="118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单位名称</w:t>
            </w: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17年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18年</w:t>
            </w:r>
          </w:p>
        </w:tc>
        <w:tc>
          <w:tcPr>
            <w:tcW w:w="1185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19年</w:t>
            </w:r>
          </w:p>
        </w:tc>
        <w:tc>
          <w:tcPr>
            <w:tcW w:w="117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草环学院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农学院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动医学院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林园学院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食药学院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化工学院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水利学院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动科学院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机电学院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经贸学院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交通学院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计算机学院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管理学院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5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林业研究所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2550" w:type="dxa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230" w:type="dxa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080" w:type="dxa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185" w:type="dxa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170" w:type="dxa"/>
            <w:tcBorders>
              <w:top w:val="nil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111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4、各学院资助经费情况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2019年经费数名列前7名的学院为草环学院、林园学院、农学院、动医学院、化工学院、食药学院、机电学院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占到学校经费数的82.3%（与立项数排名一致），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经费数分别为437万元、169万元、160万元、142万元、119万元、117万元、102万元，占学校总经费数的比例分别为29.0%、11.2%、10.6%、9.4%、7.9%、7.8%、6.8%。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近三年各学院经费名列前5名的学院分别为草环学院、农学院、动医学院、林园学院、食药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占到学校经费数的71%，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资助经费分别为1154万元、776万元、463万元、408.8万元、303万元。</w:t>
      </w:r>
    </w:p>
    <w:p>
      <w:pPr>
        <w:numPr>
          <w:ilvl w:val="0"/>
          <w:numId w:val="0"/>
        </w:numPr>
        <w:ind w:firstLine="1928" w:firstLineChars="800"/>
        <w:jc w:val="both"/>
        <w:rPr>
          <w:rFonts w:hint="eastAsia" w:ascii="仿宋_GB2312" w:hAnsi="仿宋_GB2312" w:eastAsia="仿宋_GB2312" w:cs="仿宋_GB2312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表4 2017-2019年我校各学院资助经费情况</w:t>
      </w:r>
    </w:p>
    <w:tbl>
      <w:tblPr>
        <w:tblStyle w:val="3"/>
        <w:tblpPr w:leftFromText="180" w:rightFromText="180" w:vertAnchor="text" w:horzAnchor="page" w:tblpX="2074" w:tblpY="12"/>
        <w:tblOverlap w:val="never"/>
        <w:tblW w:w="75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1200"/>
        <w:gridCol w:w="1230"/>
        <w:gridCol w:w="1297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单位名称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17年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18年</w:t>
            </w:r>
          </w:p>
        </w:tc>
        <w:tc>
          <w:tcPr>
            <w:tcW w:w="129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19年</w:t>
            </w:r>
          </w:p>
        </w:tc>
        <w:tc>
          <w:tcPr>
            <w:tcW w:w="107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  <w:lang w:val="en-US" w:eastAsia="zh-CN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草环学院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442</w:t>
            </w:r>
          </w:p>
        </w:tc>
        <w:tc>
          <w:tcPr>
            <w:tcW w:w="123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275</w:t>
            </w:r>
          </w:p>
        </w:tc>
        <w:tc>
          <w:tcPr>
            <w:tcW w:w="129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437</w:t>
            </w:r>
          </w:p>
        </w:tc>
        <w:tc>
          <w:tcPr>
            <w:tcW w:w="107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农学院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113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动医学院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260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林园学院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80.8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169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408.8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食药学院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117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化工学院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119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水利学院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131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动科学院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机电学院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102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经贸学院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交通学院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计算机学院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管理学院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林业研究所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7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合 计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1658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1101.8</w:t>
            </w:r>
          </w:p>
        </w:tc>
        <w:tc>
          <w:tcPr>
            <w:tcW w:w="12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1507</w:t>
            </w:r>
          </w:p>
        </w:tc>
        <w:tc>
          <w:tcPr>
            <w:tcW w:w="107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4266.8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三年立项数和经费数排序一致，依次都为草环学院、农学院、动医学院、林园学院、食药学院、化工学院、水利学院、动科学院、机电学院、经贸学院、交通学院、计算机学院、管理学院、林业研究所。化工学院、水利学院、动科学院、机电学院4个学院经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占到学校经费数的21%；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经贸学院、交通学院、计算机学院、管理学院、林业研究所5个学院经费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占到学校经费数的8%，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5、各学院的立项资助率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2019年资助率超过20%的学院有化工学院、草环学院、机电学院，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分别为30.0%、24.4%、20.0%。与2018年各学院资助率相比，经贸学院、管理学院、草环学院资助率均显著提高，增幅分别达12.5个百分点、12.5个百分点和10.9个百分点。</w:t>
      </w:r>
    </w:p>
    <w:p>
      <w:pPr>
        <w:ind w:firstLine="2650" w:firstLineChars="1100"/>
        <w:jc w:val="both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表</w:t>
      </w:r>
      <w:r>
        <w:rPr>
          <w:rFonts w:hint="eastAsia" w:ascii="仿宋_GB2312" w:hAnsi="宋体" w:eastAsia="仿宋_GB2312" w:cs="宋体"/>
          <w:b/>
          <w:bCs/>
          <w:kern w:val="0"/>
          <w:sz w:val="24"/>
          <w:lang w:val="en-US" w:eastAsia="zh-CN"/>
        </w:rPr>
        <w:t xml:space="preserve">5 </w:t>
      </w:r>
      <w:r>
        <w:rPr>
          <w:rFonts w:hint="eastAsia" w:ascii="仿宋_GB2312" w:hAnsi="宋体" w:eastAsia="仿宋_GB2312" w:cs="宋体"/>
          <w:b/>
          <w:bCs/>
          <w:kern w:val="0"/>
          <w:sz w:val="24"/>
        </w:rPr>
        <w:t>2019年各学院资助率情况</w:t>
      </w:r>
    </w:p>
    <w:tbl>
      <w:tblPr>
        <w:tblStyle w:val="3"/>
        <w:tblW w:w="8175" w:type="dxa"/>
        <w:jc w:val="center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740"/>
        <w:gridCol w:w="1965"/>
        <w:gridCol w:w="19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65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单位名称</w:t>
            </w:r>
          </w:p>
        </w:tc>
        <w:tc>
          <w:tcPr>
            <w:tcW w:w="1740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申报数</w:t>
            </w:r>
          </w:p>
        </w:tc>
        <w:tc>
          <w:tcPr>
            <w:tcW w:w="1965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立项数</w:t>
            </w:r>
          </w:p>
        </w:tc>
        <w:tc>
          <w:tcPr>
            <w:tcW w:w="1905" w:type="dxa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资助率（%）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林业研究所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化工学院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草环学院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24.4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机电学院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林园学院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18.2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农学院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18.2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动医学院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17.4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食药学院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16.7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动科学院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14.3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经贸学院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管理学院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12.5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水利学院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8.3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交通学院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计算机学院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数理学院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干旱区荒漠研究所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15"/>
                <w:szCs w:val="15"/>
              </w:rPr>
              <w:t>干旱区土壤与肥料研究所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15"/>
                <w:szCs w:val="15"/>
              </w:rPr>
            </w:pPr>
            <w:r>
              <w:rPr>
                <w:rFonts w:hint="eastAsia" w:ascii="仿宋_GB2312" w:eastAsia="仿宋_GB2312"/>
                <w:color w:val="auto"/>
                <w:sz w:val="15"/>
                <w:szCs w:val="15"/>
              </w:rPr>
              <w:t>经济社会发展研究中心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</w:rPr>
              <w:t>草业研究所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马业研究院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设施农业研究所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图书馆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</w:rPr>
            </w:pPr>
            <w:r>
              <w:rPr>
                <w:rFonts w:hint="eastAsia" w:ascii="仿宋_GB2312" w:eastAsia="仿宋_GB2312"/>
                <w:color w:val="auto"/>
              </w:rPr>
              <w:t>科技学院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6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22.9 </w:t>
            </w:r>
          </w:p>
        </w:tc>
      </w:tr>
    </w:tbl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近三年资助率名列前8的学院分别为草环学院、化工学院、农学院、机电学院、计算机学院、动医学院、动科学院、林业研究所，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分别为23%、23%，22%、22%、20%、18%、17%、17%。</w:t>
      </w:r>
    </w:p>
    <w:tbl>
      <w:tblPr>
        <w:tblStyle w:val="3"/>
        <w:tblW w:w="7284" w:type="dxa"/>
        <w:jc w:val="center"/>
        <w:tblInd w:w="4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2"/>
        <w:gridCol w:w="1830"/>
        <w:gridCol w:w="1755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284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     表6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近三年我校各学院资助率情况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1922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30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三年总申报数</w:t>
            </w:r>
          </w:p>
        </w:tc>
        <w:tc>
          <w:tcPr>
            <w:tcW w:w="1755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三年总立项数</w:t>
            </w:r>
          </w:p>
        </w:tc>
        <w:tc>
          <w:tcPr>
            <w:tcW w:w="1777" w:type="dxa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三年总资助率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</w:rPr>
              <w:t>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122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机电学院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动医学院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动科学院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林业研究所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食药学院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林园学院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水利学院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7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9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83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7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77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6、项目负责人主持项目情况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2019年新疆农业大学资助项目39项项目负责人中，23位项目负责人曾主持国自然项目，占全校项目资助总数5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%；8位负责人曾主持2项国自然项目，占全校项目资助总数21%；1位负责人曾主持3项国自然项目，占全校项目资助总数3%；1位负责人曾主持4项国自然项目，占全校项目资助总数3%。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获得资助的项目负责人大多数曾承担国自然基金项目，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具有较强的研究基础、学术能力、成熟的申报经验。大多数未获批立项的</w:t>
      </w:r>
      <w:r>
        <w:rPr>
          <w:rFonts w:hint="eastAsia" w:ascii="仿宋_GB2312" w:eastAsia="仿宋_GB2312"/>
          <w:color w:val="000000"/>
          <w:sz w:val="32"/>
          <w:szCs w:val="32"/>
        </w:rPr>
        <w:t>申报书缺乏本专业专家的审查和指导，特别是年轻教师撰写的申报书，撰写语言口语化，质量有待于大幅度提高。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三、工作开展情况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1、预评审情况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国家自然科学基金我校共申报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224项，获批立项39项，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资助率17%。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学校组织开展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预评审工作，共送审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80份申请书，10项申请书经专家预评审反馈修改后获得资助，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占全校项目资助总数26%。其中，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动物医学、经贸、机电工程、农学、林园、草业、管理、经济与贸易、动物科学、交通、食药送审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南京农业大学（动物医学资助率高33%、经贸和农学资助率17%、机电工程资助率14%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，其他学科无资助）；水利工程、数理、计算机工程送审河海大学（仅资助水利工程1项，资助率低，9%）；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化工送审江南大学（资助率高，25%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食药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送审南京农业大学、中国农业大学、江苏大学、中科院理化所、天津科技大学（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中国农业大学、江苏大学，资助率高，100%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预评审送审资助率高于总资助率，送审显现成效，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但存在送审数量较少和送审学校和专家不够精准的问题，应更加重视送审工作的必要性和重要性，组织教师提早写好申请书，针对本专业研究领域寻找国内知名专家有针对性的送审，加强送审数量和精确性，留足修改时间精修申请书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2、项目申请书提交审查时间情况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占资助总数54%的申请书，是2018年12月前提交的；占资助总数67%的申请书，是按照科研处反馈意见精修3次以上的申请书，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由此可见：申请书须提前准备，及时送审并精修的资助率较高。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四、总结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根据近年立项情况来看，我校教师申报国家自然科学基金，应重点申报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生命科学部项目，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加强工程与材料科学部、化学科学部、地球科学部申报质量；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重点申报地区项目。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基金立项大户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草环学院、农学院、动医学院、林园学院、食药学院应保持申报数稳中有增，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不掉队伍，继续保持良好势头，再创佳绩；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水利学院在申报数量和质量上双管齐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下，需精心撰写申请书，大幅提升质量，多请同行专家审核把关，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实现突破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高资助率的化工学院、动科学院、机电学院应增加申报数量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，保持质量，更上一个台阶；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经贸学院、交通学院、计算机学院、管理学院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不要气馁，继续努力，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在申请书质量上下功夫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，争取取得好成绩。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学院做好预评审送审工作，精准提供预评审学校和专家给学校来送审，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增大获批立项概率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；鼓励获过国自然资助的教师、博士、高级职称教师、年轻教师积极申报，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提醒教师应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提早准备、耐心细致、精益求精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的修改申请书。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95EA2"/>
    <w:rsid w:val="00530A1C"/>
    <w:rsid w:val="00BE18E6"/>
    <w:rsid w:val="00F73F0E"/>
    <w:rsid w:val="01BB01E3"/>
    <w:rsid w:val="02357740"/>
    <w:rsid w:val="025403FD"/>
    <w:rsid w:val="03524400"/>
    <w:rsid w:val="037231DE"/>
    <w:rsid w:val="04142B61"/>
    <w:rsid w:val="05144A25"/>
    <w:rsid w:val="055B45DA"/>
    <w:rsid w:val="05DB7826"/>
    <w:rsid w:val="06095A19"/>
    <w:rsid w:val="06593946"/>
    <w:rsid w:val="06D3700F"/>
    <w:rsid w:val="07E812E8"/>
    <w:rsid w:val="084B1822"/>
    <w:rsid w:val="086A33E8"/>
    <w:rsid w:val="08B63D45"/>
    <w:rsid w:val="09735748"/>
    <w:rsid w:val="097B12A9"/>
    <w:rsid w:val="097D57ED"/>
    <w:rsid w:val="098C0CBE"/>
    <w:rsid w:val="0A03146F"/>
    <w:rsid w:val="0A0F12FD"/>
    <w:rsid w:val="0B253443"/>
    <w:rsid w:val="0C334882"/>
    <w:rsid w:val="0C9D39D2"/>
    <w:rsid w:val="0D6F1981"/>
    <w:rsid w:val="0D8A7037"/>
    <w:rsid w:val="0DA84D2E"/>
    <w:rsid w:val="0DB916E1"/>
    <w:rsid w:val="0E026C7D"/>
    <w:rsid w:val="0E263969"/>
    <w:rsid w:val="0E295627"/>
    <w:rsid w:val="0F0E60AB"/>
    <w:rsid w:val="0F170290"/>
    <w:rsid w:val="0F34513D"/>
    <w:rsid w:val="0F4D04E8"/>
    <w:rsid w:val="0FD50241"/>
    <w:rsid w:val="0FF43EC7"/>
    <w:rsid w:val="10060C22"/>
    <w:rsid w:val="10D65B0F"/>
    <w:rsid w:val="10D858FA"/>
    <w:rsid w:val="11375BAF"/>
    <w:rsid w:val="12026DBE"/>
    <w:rsid w:val="126A1074"/>
    <w:rsid w:val="1284590F"/>
    <w:rsid w:val="12B3054B"/>
    <w:rsid w:val="12C9181A"/>
    <w:rsid w:val="13106DD0"/>
    <w:rsid w:val="13744303"/>
    <w:rsid w:val="139955FF"/>
    <w:rsid w:val="13AF0739"/>
    <w:rsid w:val="14244BAD"/>
    <w:rsid w:val="14323EFB"/>
    <w:rsid w:val="14DA59D0"/>
    <w:rsid w:val="15267894"/>
    <w:rsid w:val="158032CA"/>
    <w:rsid w:val="165E542F"/>
    <w:rsid w:val="16637688"/>
    <w:rsid w:val="17084DFE"/>
    <w:rsid w:val="172F0FB1"/>
    <w:rsid w:val="174C04F1"/>
    <w:rsid w:val="175B04B3"/>
    <w:rsid w:val="185E7B4C"/>
    <w:rsid w:val="19134141"/>
    <w:rsid w:val="1A470E74"/>
    <w:rsid w:val="1AF00D65"/>
    <w:rsid w:val="1B1174BA"/>
    <w:rsid w:val="1B4D2414"/>
    <w:rsid w:val="1BEE4C2A"/>
    <w:rsid w:val="1C882A0B"/>
    <w:rsid w:val="1D066C55"/>
    <w:rsid w:val="1D854577"/>
    <w:rsid w:val="1E2E4A2D"/>
    <w:rsid w:val="1E756E0A"/>
    <w:rsid w:val="1ED54676"/>
    <w:rsid w:val="1FD478A8"/>
    <w:rsid w:val="1FE235D6"/>
    <w:rsid w:val="1FFC5399"/>
    <w:rsid w:val="205F2CD3"/>
    <w:rsid w:val="20DC5399"/>
    <w:rsid w:val="21245FCA"/>
    <w:rsid w:val="213A2391"/>
    <w:rsid w:val="21DA1A0C"/>
    <w:rsid w:val="22667B0E"/>
    <w:rsid w:val="22C27836"/>
    <w:rsid w:val="231E5CDF"/>
    <w:rsid w:val="23F46C61"/>
    <w:rsid w:val="2475665D"/>
    <w:rsid w:val="249642C8"/>
    <w:rsid w:val="24B54B97"/>
    <w:rsid w:val="25222D6C"/>
    <w:rsid w:val="252D3575"/>
    <w:rsid w:val="273C59AF"/>
    <w:rsid w:val="27636C5C"/>
    <w:rsid w:val="27854F3B"/>
    <w:rsid w:val="27C84638"/>
    <w:rsid w:val="283347C5"/>
    <w:rsid w:val="291B3BC4"/>
    <w:rsid w:val="29DF09FD"/>
    <w:rsid w:val="29E10FBB"/>
    <w:rsid w:val="2A261012"/>
    <w:rsid w:val="2AB376AB"/>
    <w:rsid w:val="2AC41F9B"/>
    <w:rsid w:val="2ADF203B"/>
    <w:rsid w:val="2B0746B1"/>
    <w:rsid w:val="2B1C1040"/>
    <w:rsid w:val="2C0B17CE"/>
    <w:rsid w:val="2C836F9A"/>
    <w:rsid w:val="2DB21AC1"/>
    <w:rsid w:val="2DC31D34"/>
    <w:rsid w:val="2DE01E1A"/>
    <w:rsid w:val="2E141F60"/>
    <w:rsid w:val="2E935C5C"/>
    <w:rsid w:val="2FCF7AC8"/>
    <w:rsid w:val="300852B6"/>
    <w:rsid w:val="3047647E"/>
    <w:rsid w:val="30916E6D"/>
    <w:rsid w:val="30A701CC"/>
    <w:rsid w:val="30C57AED"/>
    <w:rsid w:val="319B2098"/>
    <w:rsid w:val="31BC25A7"/>
    <w:rsid w:val="31C65F63"/>
    <w:rsid w:val="31E454A0"/>
    <w:rsid w:val="32487F71"/>
    <w:rsid w:val="328A0912"/>
    <w:rsid w:val="32A9308B"/>
    <w:rsid w:val="33E53A87"/>
    <w:rsid w:val="34830EAA"/>
    <w:rsid w:val="35223056"/>
    <w:rsid w:val="35F97AF1"/>
    <w:rsid w:val="36190333"/>
    <w:rsid w:val="364203BB"/>
    <w:rsid w:val="36991C06"/>
    <w:rsid w:val="37247FB7"/>
    <w:rsid w:val="37EE69B7"/>
    <w:rsid w:val="38C91639"/>
    <w:rsid w:val="39A708FF"/>
    <w:rsid w:val="39AA4FCC"/>
    <w:rsid w:val="39C53FFF"/>
    <w:rsid w:val="3A4A4E31"/>
    <w:rsid w:val="3BB35069"/>
    <w:rsid w:val="3CE53DF0"/>
    <w:rsid w:val="3CFA1203"/>
    <w:rsid w:val="3D243D92"/>
    <w:rsid w:val="3D4D1619"/>
    <w:rsid w:val="3D6D5370"/>
    <w:rsid w:val="3E4A086D"/>
    <w:rsid w:val="3EC31495"/>
    <w:rsid w:val="40157DBC"/>
    <w:rsid w:val="402242DC"/>
    <w:rsid w:val="413A7A28"/>
    <w:rsid w:val="415D34B6"/>
    <w:rsid w:val="4203229A"/>
    <w:rsid w:val="4251111F"/>
    <w:rsid w:val="428112BF"/>
    <w:rsid w:val="42DB3634"/>
    <w:rsid w:val="43360C73"/>
    <w:rsid w:val="43BE53EF"/>
    <w:rsid w:val="43BF311B"/>
    <w:rsid w:val="44526F1E"/>
    <w:rsid w:val="448B2478"/>
    <w:rsid w:val="44912EE9"/>
    <w:rsid w:val="44A97196"/>
    <w:rsid w:val="44FB6E1D"/>
    <w:rsid w:val="45212E0C"/>
    <w:rsid w:val="45313F41"/>
    <w:rsid w:val="45372777"/>
    <w:rsid w:val="453C7CE7"/>
    <w:rsid w:val="455308F3"/>
    <w:rsid w:val="45791303"/>
    <w:rsid w:val="45E00FFE"/>
    <w:rsid w:val="45F251E0"/>
    <w:rsid w:val="46081AB4"/>
    <w:rsid w:val="467D4498"/>
    <w:rsid w:val="46E14F82"/>
    <w:rsid w:val="47C879ED"/>
    <w:rsid w:val="47DB0120"/>
    <w:rsid w:val="488D7355"/>
    <w:rsid w:val="489106C1"/>
    <w:rsid w:val="48AF0303"/>
    <w:rsid w:val="48BC026D"/>
    <w:rsid w:val="49366BF3"/>
    <w:rsid w:val="49434A1E"/>
    <w:rsid w:val="49FE46FE"/>
    <w:rsid w:val="4A136DBA"/>
    <w:rsid w:val="4A5F3CD2"/>
    <w:rsid w:val="4B795E3A"/>
    <w:rsid w:val="4BC17E3C"/>
    <w:rsid w:val="4BF519E0"/>
    <w:rsid w:val="4BFA08BA"/>
    <w:rsid w:val="4C30277B"/>
    <w:rsid w:val="4C5D1F10"/>
    <w:rsid w:val="4E796463"/>
    <w:rsid w:val="4EC60992"/>
    <w:rsid w:val="4ED13C54"/>
    <w:rsid w:val="500F23BB"/>
    <w:rsid w:val="519F53CD"/>
    <w:rsid w:val="51D05858"/>
    <w:rsid w:val="52D9237A"/>
    <w:rsid w:val="52EC69D1"/>
    <w:rsid w:val="535B611C"/>
    <w:rsid w:val="53706EBB"/>
    <w:rsid w:val="54907481"/>
    <w:rsid w:val="54DA122F"/>
    <w:rsid w:val="55951F46"/>
    <w:rsid w:val="56F00825"/>
    <w:rsid w:val="57770AC2"/>
    <w:rsid w:val="57D8613D"/>
    <w:rsid w:val="57E70906"/>
    <w:rsid w:val="583E642A"/>
    <w:rsid w:val="58536D45"/>
    <w:rsid w:val="586726BF"/>
    <w:rsid w:val="58AF282A"/>
    <w:rsid w:val="59520494"/>
    <w:rsid w:val="598D038C"/>
    <w:rsid w:val="59E06A09"/>
    <w:rsid w:val="5A1F175B"/>
    <w:rsid w:val="5B09372C"/>
    <w:rsid w:val="5B853DF2"/>
    <w:rsid w:val="5C35652F"/>
    <w:rsid w:val="5C880D9C"/>
    <w:rsid w:val="5CD14898"/>
    <w:rsid w:val="5D745782"/>
    <w:rsid w:val="5E2314AA"/>
    <w:rsid w:val="5E772C39"/>
    <w:rsid w:val="5F8F7809"/>
    <w:rsid w:val="605F583E"/>
    <w:rsid w:val="60736988"/>
    <w:rsid w:val="61DA07E5"/>
    <w:rsid w:val="62077215"/>
    <w:rsid w:val="62351EA2"/>
    <w:rsid w:val="628557DC"/>
    <w:rsid w:val="63067AF1"/>
    <w:rsid w:val="64046832"/>
    <w:rsid w:val="647667CE"/>
    <w:rsid w:val="64817A68"/>
    <w:rsid w:val="65057D5A"/>
    <w:rsid w:val="653378D6"/>
    <w:rsid w:val="656C78D6"/>
    <w:rsid w:val="65706326"/>
    <w:rsid w:val="672E2618"/>
    <w:rsid w:val="678F510D"/>
    <w:rsid w:val="683B766C"/>
    <w:rsid w:val="68C73EEA"/>
    <w:rsid w:val="68FD3FFA"/>
    <w:rsid w:val="69D17FA9"/>
    <w:rsid w:val="6A862F06"/>
    <w:rsid w:val="6A9B3EA9"/>
    <w:rsid w:val="6AC90E5C"/>
    <w:rsid w:val="6AEC042B"/>
    <w:rsid w:val="6B955CEA"/>
    <w:rsid w:val="6C477F47"/>
    <w:rsid w:val="6D8B12D1"/>
    <w:rsid w:val="6DD221E3"/>
    <w:rsid w:val="6DD837CE"/>
    <w:rsid w:val="6E5951A2"/>
    <w:rsid w:val="6E5D0577"/>
    <w:rsid w:val="6F1E44C3"/>
    <w:rsid w:val="6F3569F0"/>
    <w:rsid w:val="6FDC0C24"/>
    <w:rsid w:val="700B5123"/>
    <w:rsid w:val="703636B4"/>
    <w:rsid w:val="709E55DD"/>
    <w:rsid w:val="71BC3EB9"/>
    <w:rsid w:val="72464493"/>
    <w:rsid w:val="72775BEF"/>
    <w:rsid w:val="72C97DBD"/>
    <w:rsid w:val="7369334C"/>
    <w:rsid w:val="74315E40"/>
    <w:rsid w:val="74820041"/>
    <w:rsid w:val="74D95EA2"/>
    <w:rsid w:val="75F42B38"/>
    <w:rsid w:val="7660758D"/>
    <w:rsid w:val="767A545A"/>
    <w:rsid w:val="76AA6E5D"/>
    <w:rsid w:val="76C23FD1"/>
    <w:rsid w:val="776B11CD"/>
    <w:rsid w:val="78361538"/>
    <w:rsid w:val="7888239B"/>
    <w:rsid w:val="78A81BA6"/>
    <w:rsid w:val="78B37F52"/>
    <w:rsid w:val="78DA30B7"/>
    <w:rsid w:val="79C250D0"/>
    <w:rsid w:val="7A1A6A53"/>
    <w:rsid w:val="7ABB5168"/>
    <w:rsid w:val="7C1D055C"/>
    <w:rsid w:val="7C6014AD"/>
    <w:rsid w:val="7CE81293"/>
    <w:rsid w:val="7CFA4477"/>
    <w:rsid w:val="7EAA7BF3"/>
    <w:rsid w:val="7EFE2ABB"/>
    <w:rsid w:val="7F542049"/>
    <w:rsid w:val="7F941899"/>
    <w:rsid w:val="7F98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2019-09-03T02:16:00Z</dcterms:created>
  <dc:creator>李建贵</dc:creator>
  <cp:lastModifiedBy>Administrator</cp:lastModifiedBy>
  <dcterms:modified xsi:type="dcterms:W3CDTF">2019-11-25T02:30:14Z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